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28"/>
        </w:rPr>
      </w:pPr>
      <w:r>
        <w:rPr>
          <w:rFonts w:hint="eastAsia"/>
          <w:b/>
          <w:color w:val="1F4E79"/>
          <w:sz w:val="44"/>
          <w:szCs w:val="44"/>
        </w:rPr>
        <w:t>佛罗里达大学商科硕士保录项目</w:t>
      </w:r>
    </w:p>
    <w:p>
      <w:pPr>
        <w:pStyle w:val="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院校简介</w:t>
      </w:r>
    </w:p>
    <w:p>
      <w:pPr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257300" cy="951230"/>
            <wp:effectExtent l="0" t="0" r="0" b="1270"/>
            <wp:wrapSquare wrapText="bothSides"/>
            <wp:docPr id="1" name="图片 7" descr="C:\Users\Maggie\Desktop\t01f8acb9c99b97a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C:\Users\Maggie\Desktop\t01f8acb9c99b97ae9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1"/>
        </w:rPr>
        <w:t>佛罗里达大学（University of Florida，简称UF），1853年建校，是美国佛罗里达州的一所顶尖公立研究型大学。UF是世界一流大学联盟美国大学协会的62所研究型大学之一，美国一级国家级大学，享有公立常春藤称号，一向以多元化的学术教育闻名。</w:t>
      </w:r>
    </w:p>
    <w:p>
      <w:pPr>
        <w:rPr>
          <w:szCs w:val="21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院校排名</w:t>
      </w:r>
    </w:p>
    <w:p>
      <w:pPr>
        <w:pStyle w:val="5"/>
        <w:numPr>
          <w:ilvl w:val="0"/>
          <w:numId w:val="2"/>
        </w:numPr>
        <w:ind w:firstLineChars="0"/>
        <w:rPr>
          <w:rFonts w:ascii="Times New Roman" w:hAnsi="Times New Roman"/>
          <w:szCs w:val="21"/>
        </w:rPr>
      </w:pPr>
      <w:bookmarkStart w:id="0" w:name="OLE_LINK1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65405</wp:posOffset>
            </wp:positionV>
            <wp:extent cx="1743710" cy="763270"/>
            <wp:effectExtent l="10795" t="0" r="17145" b="24638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763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2017USNews综排第</w:t>
      </w:r>
      <w:r>
        <w:rPr>
          <w:rFonts w:hint="eastAsia" w:ascii="Times New Roman" w:hAnsi="Times New Roman"/>
          <w:szCs w:val="21"/>
        </w:rPr>
        <w:t>50</w:t>
      </w:r>
      <w:r>
        <w:rPr>
          <w:rFonts w:ascii="Times New Roman" w:hAnsi="Times New Roman"/>
          <w:szCs w:val="21"/>
        </w:rPr>
        <w:t>位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</w:rPr>
        <w:t>商排37位</w:t>
      </w:r>
    </w:p>
    <w:p>
      <w:pPr>
        <w:pStyle w:val="5"/>
        <w:numPr>
          <w:ilvl w:val="0"/>
          <w:numId w:val="2"/>
        </w:numPr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201</w:t>
      </w:r>
      <w:r>
        <w:rPr>
          <w:rFonts w:ascii="Times New Roman" w:hAnsi="Times New Roman"/>
          <w:szCs w:val="21"/>
        </w:rPr>
        <w:t>7</w:t>
      </w:r>
      <w:r>
        <w:rPr>
          <w:rFonts w:hint="eastAsia" w:ascii="Times New Roman" w:hAnsi="Times New Roman"/>
          <w:szCs w:val="21"/>
        </w:rPr>
        <w:t>USNews</w:t>
      </w:r>
      <w:r>
        <w:rPr>
          <w:rFonts w:ascii="Times New Roman" w:hAnsi="Times New Roman"/>
          <w:szCs w:val="21"/>
        </w:rPr>
        <w:t>美国公立大学排名第14位</w:t>
      </w:r>
    </w:p>
    <w:bookmarkEnd w:id="0"/>
    <w:p>
      <w:pPr>
        <w:pStyle w:val="5"/>
        <w:numPr>
          <w:ilvl w:val="0"/>
          <w:numId w:val="2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2016年福布斯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最有价值大学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排名第</w:t>
      </w:r>
      <w:r>
        <w:rPr>
          <w:rFonts w:hint="eastAsia" w:ascii="Times New Roman" w:hAnsi="Times New Roman"/>
          <w:szCs w:val="21"/>
        </w:rPr>
        <w:t>3</w:t>
      </w:r>
    </w:p>
    <w:p>
      <w:pPr>
        <w:pStyle w:val="5"/>
        <w:numPr>
          <w:ilvl w:val="0"/>
          <w:numId w:val="2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2016USNews世界大学排名中位列世界53位</w:t>
      </w:r>
    </w:p>
    <w:p>
      <w:pPr>
        <w:pStyle w:val="5"/>
        <w:numPr>
          <w:ilvl w:val="0"/>
          <w:numId w:val="2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世界一流大学排行榜位列世界32名</w:t>
      </w:r>
    </w:p>
    <w:p>
      <w:pPr>
        <w:pStyle w:val="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项目优势</w:t>
      </w:r>
    </w:p>
    <w:p>
      <w:pPr>
        <w:pStyle w:val="5"/>
        <w:numPr>
          <w:ilvl w:val="0"/>
          <w:numId w:val="3"/>
        </w:numPr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提前面试录取，锁定硕士名额</w:t>
      </w:r>
    </w:p>
    <w:p>
      <w:pPr>
        <w:pStyle w:val="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免除工作经验背景限制，接受跨专业申请</w:t>
      </w:r>
    </w:p>
    <w:p>
      <w:pPr>
        <w:pStyle w:val="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拥有全球</w:t>
      </w:r>
      <w:r>
        <w:rPr>
          <w:rFonts w:ascii="Times New Roman" w:hAnsi="Times New Roman"/>
          <w:color w:val="000000"/>
          <w:szCs w:val="21"/>
        </w:rPr>
        <w:t>TOP10</w:t>
      </w:r>
      <w:r>
        <w:rPr>
          <w:rFonts w:hint="eastAsia" w:ascii="Times New Roman" w:hAnsi="Times New Roman"/>
          <w:color w:val="000000"/>
          <w:szCs w:val="21"/>
        </w:rPr>
        <w:t>之列的</w:t>
      </w:r>
      <w:r>
        <w:rPr>
          <w:rFonts w:ascii="Times New Roman" w:hAnsi="Times New Roman"/>
          <w:color w:val="000000"/>
          <w:szCs w:val="21"/>
        </w:rPr>
        <w:t>Bloomburg</w:t>
      </w:r>
      <w:r>
        <w:rPr>
          <w:rFonts w:hint="eastAsia" w:ascii="Times New Roman" w:hAnsi="Times New Roman"/>
          <w:color w:val="000000"/>
          <w:szCs w:val="21"/>
        </w:rPr>
        <w:t>金融实验室，接受全球最先进的模拟实操训练</w:t>
      </w:r>
    </w:p>
    <w:p>
      <w:pPr>
        <w:pStyle w:val="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Cs w:val="21"/>
        </w:rPr>
      </w:pPr>
      <w:bookmarkStart w:id="1" w:name="_GoBack"/>
      <w:bookmarkEnd w:id="1"/>
      <w:r>
        <w:rPr>
          <w:rFonts w:hint="eastAsia" w:ascii="Times New Roman" w:hAnsi="Times New Roman"/>
          <w:color w:val="000000"/>
          <w:szCs w:val="21"/>
        </w:rPr>
        <w:t>亚裔学生比例低，会计学院亚裔学生占比仅9%，金融硕士国际生占比仅10.2%</w:t>
      </w:r>
    </w:p>
    <w:p>
      <w:pPr>
        <w:pStyle w:val="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享受美国顶级大学教育资源，汇聚商业精英及校友人脉</w:t>
      </w:r>
    </w:p>
    <w:p>
      <w:pPr>
        <w:pStyle w:val="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毕业后推荐进入美国企业OPT实习</w:t>
      </w:r>
    </w:p>
    <w:p>
      <w:pPr>
        <w:pStyle w:val="5"/>
        <w:numPr>
          <w:ilvl w:val="0"/>
          <w:numId w:val="3"/>
        </w:numPr>
        <w:ind w:firstLineChars="0"/>
      </w:pPr>
      <w:r>
        <w:rPr>
          <w:rFonts w:ascii="Times New Roman" w:hAnsi="Times New Roman"/>
          <w:color w:val="000000"/>
          <w:szCs w:val="21"/>
        </w:rPr>
        <w:t>佛罗里达州素有</w:t>
      </w:r>
      <w:r>
        <w:rPr>
          <w:rFonts w:hint="eastAsia" w:ascii="Times New Roman" w:hAnsi="Times New Roman"/>
          <w:color w:val="000000"/>
          <w:szCs w:val="21"/>
        </w:rPr>
        <w:t>“Sunshine</w:t>
      </w:r>
      <w:r>
        <w:rPr>
          <w:rFonts w:ascii="Times New Roman" w:hAnsi="Times New Roman"/>
          <w:color w:val="000000"/>
          <w:szCs w:val="21"/>
        </w:rPr>
        <w:t xml:space="preserve"> State</w:t>
      </w:r>
      <w:r>
        <w:rPr>
          <w:rFonts w:hint="eastAsia" w:ascii="Times New Roman" w:hAnsi="Times New Roman"/>
          <w:color w:val="000000"/>
          <w:szCs w:val="21"/>
        </w:rPr>
        <w:t>”美誉，环境优美，生活成本低</w:t>
      </w:r>
    </w:p>
    <w:p>
      <w:pPr>
        <w:pStyle w:val="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3188335</wp:posOffset>
            </wp:positionH>
            <wp:positionV relativeFrom="paragraph">
              <wp:posOffset>398780</wp:posOffset>
            </wp:positionV>
            <wp:extent cx="2095500" cy="599440"/>
            <wp:effectExtent l="0" t="0" r="0" b="10160"/>
            <wp:wrapSquare wrapText="bothSides"/>
            <wp:docPr id="2" name="图片 3" descr="C:\Users\Maggie\Desktop\QQ图片20160705114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Maggie\Desktop\QQ图片2016070511483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Warrington工商</w:t>
      </w:r>
      <w:r>
        <w:rPr>
          <w:b/>
          <w:sz w:val="28"/>
          <w:szCs w:val="28"/>
        </w:rPr>
        <w:t>管理学院简介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佛罗里达大学沃灵顿工商管理学院成立于1926年，1929年获得AACSB认证。沃灵顿工商管理学院下设3个二级学院，霍夫研究生商学院院(Hough Graduate School of Business)、赫文纳商学院(Heavener School of Business)和费舍会计学院(Fisher School of Accounting)。</w:t>
      </w:r>
    </w:p>
    <w:p>
      <w:pPr>
        <w:pStyle w:val="5"/>
        <w:numPr>
          <w:ilvl w:val="0"/>
          <w:numId w:val="3"/>
        </w:numPr>
        <w:ind w:firstLineChars="0"/>
      </w:pPr>
      <w:r>
        <w:rPr>
          <w:rFonts w:hint="eastAsia" w:ascii="Times New Roman" w:hAnsi="Times New Roman"/>
          <w:color w:val="000000"/>
          <w:szCs w:val="21"/>
        </w:rPr>
        <w:t xml:space="preserve">霍夫研究生商学院的4个硕士专业在2015/2015 Eduniversal最佳硕士排名公立大学研究生专业排名TOP5。霍夫研究生商学院在U.S. News &amp; World Report’s全美公立大学商学院中排名第16位。在2013年《经济学家》排名中，霍夫商学院MBA世界排名第14位。       </w:t>
      </w:r>
    </w:p>
    <w:p>
      <w:pPr>
        <w:pStyle w:val="5"/>
        <w:numPr>
          <w:ilvl w:val="0"/>
          <w:numId w:val="0"/>
        </w:numPr>
        <w:ind w:left="420" w:leftChars="0"/>
      </w:pPr>
    </w:p>
    <w:p>
      <w:pPr>
        <w:numPr>
          <w:ilvl w:val="0"/>
          <w:numId w:val="4"/>
        </w:numPr>
        <w:spacing w:line="0" w:lineRule="atLeast"/>
        <w:ind w:left="420" w:leftChars="0" w:hanging="420" w:firstLineChars="0"/>
        <w:jc w:val="left"/>
        <w:rPr>
          <w:b/>
          <w:color w:val="2F5597" w:themeColor="accent5" w:themeShade="BF"/>
          <w:sz w:val="28"/>
        </w:rPr>
      </w:pPr>
      <w:r>
        <w:rPr>
          <w:rFonts w:hint="eastAsia" w:ascii="Calibri" w:hAnsi="Calibri" w:eastAsia="宋体" w:cs="Times New Roman"/>
          <w:b/>
          <w:color w:val="2F5597" w:themeColor="accent5" w:themeShade="BF"/>
          <w:kern w:val="2"/>
          <w:sz w:val="28"/>
          <w:szCs w:val="28"/>
          <w:lang w:val="en-US" w:eastAsia="zh-CN" w:bidi="ar-SA"/>
        </w:rPr>
        <w:t>保录条件</w:t>
      </w:r>
      <w:r>
        <w:rPr>
          <w:rFonts w:hint="eastAsia"/>
          <w:b/>
          <w:color w:val="2F5597" w:themeColor="accent5" w:themeShade="BF"/>
          <w:sz w:val="28"/>
        </w:rPr>
        <w:t>：</w:t>
      </w:r>
      <w:r>
        <w:rPr>
          <w:b/>
          <w:color w:val="2F5597" w:themeColor="accent5" w:themeShade="BF"/>
          <w:sz w:val="28"/>
        </w:rPr>
        <w:t>GPA3.0+</w:t>
      </w:r>
      <w:r>
        <w:rPr>
          <w:rFonts w:hint="eastAsia"/>
          <w:b/>
          <w:color w:val="2F5597" w:themeColor="accent5" w:themeShade="BF"/>
          <w:sz w:val="28"/>
        </w:rPr>
        <w:t>，TOEFL</w:t>
      </w:r>
      <w:r>
        <w:rPr>
          <w:b/>
          <w:color w:val="2F5597" w:themeColor="accent5" w:themeShade="BF"/>
          <w:sz w:val="28"/>
        </w:rPr>
        <w:t>85</w:t>
      </w:r>
      <w:r>
        <w:rPr>
          <w:rFonts w:hint="eastAsia"/>
          <w:b/>
          <w:color w:val="2F5597" w:themeColor="accent5" w:themeShade="BF"/>
          <w:sz w:val="28"/>
        </w:rPr>
        <w:t>+，GMAT6</w:t>
      </w:r>
      <w:r>
        <w:rPr>
          <w:b/>
          <w:color w:val="2F5597" w:themeColor="accent5" w:themeShade="BF"/>
          <w:sz w:val="28"/>
        </w:rPr>
        <w:t>2</w:t>
      </w:r>
      <w:r>
        <w:rPr>
          <w:rFonts w:hint="eastAsia"/>
          <w:b/>
          <w:color w:val="2F5597" w:themeColor="accent5" w:themeShade="BF"/>
          <w:sz w:val="28"/>
        </w:rPr>
        <w:t>0+</w:t>
      </w:r>
    </w:p>
    <w:p>
      <w:pPr>
        <w:numPr>
          <w:ilvl w:val="0"/>
          <w:numId w:val="4"/>
        </w:numPr>
        <w:spacing w:line="0" w:lineRule="atLeast"/>
        <w:ind w:left="420" w:leftChars="0" w:hanging="420" w:firstLineChars="0"/>
        <w:jc w:val="left"/>
        <w:rPr>
          <w:b/>
          <w:color w:val="2F5597" w:themeColor="accent5" w:themeShade="BF"/>
          <w:sz w:val="28"/>
        </w:rPr>
      </w:pPr>
      <w:r>
        <w:rPr>
          <w:rFonts w:hint="eastAsia"/>
          <w:b/>
          <w:color w:val="2F5597" w:themeColor="accent5" w:themeShade="BF"/>
          <w:sz w:val="28"/>
        </w:rPr>
        <w:t>保录专业：金融、会计、国际商务、管理、信息系统与运营管理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line="384" w:lineRule="atLeast"/>
        <w:jc w:val="left"/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Helvetica" w:hAnsi="Helvetica" w:cs="Helvetica"/>
          <w:b/>
          <w:bCs/>
          <w:color w:val="3E3E3E"/>
          <w:kern w:val="0"/>
          <w:sz w:val="24"/>
          <w:szCs w:val="24"/>
          <w:lang w:eastAsia="zh-CN"/>
        </w:rPr>
        <w:t>本升硕项目校内咨询电话：</w:t>
      </w:r>
      <w:r>
        <w:rPr>
          <w:rFonts w:hint="eastAsia" w:ascii="Helvetica" w:hAnsi="Helvetica" w:cs="Helvetica"/>
          <w:b/>
          <w:bCs/>
          <w:color w:val="3E3E3E"/>
          <w:kern w:val="0"/>
          <w:sz w:val="24"/>
          <w:szCs w:val="24"/>
          <w:lang w:val="en-US" w:eastAsia="zh-CN"/>
        </w:rPr>
        <w:t xml:space="preserve"> 0532 - 85959883  85959868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right"/>
    </w:pPr>
    <w:r>
      <w:drawing>
        <wp:inline distT="0" distB="0" distL="114300" distR="114300">
          <wp:extent cx="2382520" cy="628650"/>
          <wp:effectExtent l="0" t="0" r="17780" b="0"/>
          <wp:docPr id="1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520" cy="628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1">
    <w:pict>
      <v:shape id="0" type="#_x0000_t75" style="width:15px;height:15px" o:bullet="t">
        <v:imagedata r:id="rId1" o:title=""/>
      </v:shape>
    </w:pict>
  </w:numPicBullet>
  <w:numPicBullet w:numPicBulletId="0">
    <w:pict>
      <v:shape id="1" type="#_x0000_t75" style="width:15px;height:15px" o:bullet="t">
        <v:imagedata r:id="rId2" o:title=""/>
      </v:shape>
    </w:pict>
  </w:numPicBullet>
  <w:abstractNum w:abstractNumId="0">
    <w:nsid w:val="03463A09"/>
    <w:multiLevelType w:val="multilevel"/>
    <w:tmpl w:val="03463A09"/>
    <w:lvl w:ilvl="0" w:tentative="0">
      <w:start w:val="1"/>
      <w:numFmt w:val="bullet"/>
      <w:lvlText w:val=""/>
      <w:lvlPicBulletId w:val="0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07D06E75"/>
    <w:multiLevelType w:val="multilevel"/>
    <w:tmpl w:val="07D06E75"/>
    <w:lvl w:ilvl="0" w:tentative="0">
      <w:start w:val="1"/>
      <w:numFmt w:val="bullet"/>
      <w:lvlText w:val="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1F5E0B"/>
    <w:multiLevelType w:val="multilevel"/>
    <w:tmpl w:val="191F5E0B"/>
    <w:lvl w:ilvl="0" w:tentative="0">
      <w:start w:val="1"/>
      <w:numFmt w:val="bullet"/>
      <w:lvlText w:val=""/>
      <w:lvlPicBulletId w:val="1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58CF3F67"/>
    <w:multiLevelType w:val="singleLevel"/>
    <w:tmpl w:val="58CF3F67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7D"/>
    <w:rsid w:val="002D46E0"/>
    <w:rsid w:val="00BD0445"/>
    <w:rsid w:val="00BE287D"/>
    <w:rsid w:val="00DD68A1"/>
    <w:rsid w:val="00F57B08"/>
    <w:rsid w:val="030C1C43"/>
    <w:rsid w:val="3D0420F3"/>
    <w:rsid w:val="61143A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272</Words>
  <Characters>1552</Characters>
  <Lines>12</Lines>
  <Paragraphs>3</Paragraphs>
  <ScaleCrop>false</ScaleCrop>
  <LinksUpToDate>false</LinksUpToDate>
  <CharactersWithSpaces>1821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黄堃</cp:lastModifiedBy>
  <dcterms:modified xsi:type="dcterms:W3CDTF">2017-03-20T02:25:43Z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